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499" w:rsidRPr="00980BF3" w:rsidRDefault="004D6499" w:rsidP="004D6499">
      <w:pPr>
        <w:widowControl w:val="0"/>
        <w:autoSpaceDE w:val="0"/>
        <w:autoSpaceDN w:val="0"/>
        <w:adjustRightInd w:val="0"/>
        <w:ind w:left="432"/>
        <w:rPr>
          <w:rFonts w:ascii="Arial Narrow" w:hAnsi="Arial Narrow" w:cs="AkzidenzGroteskBE-Regular"/>
          <w:color w:val="718883"/>
          <w:sz w:val="30"/>
          <w:szCs w:val="30"/>
          <w:lang w:val="fr-FR"/>
        </w:rPr>
      </w:pPr>
      <w:r w:rsidRPr="00980BF3">
        <w:rPr>
          <w:rFonts w:ascii="Arial Narrow" w:hAnsi="Arial Narrow" w:cs="AkzidenzGroteskBE-Regular"/>
          <w:color w:val="718883"/>
          <w:sz w:val="30"/>
          <w:szCs w:val="30"/>
          <w:lang w:val="fr-FR"/>
        </w:rPr>
        <w:t>Glossaire</w:t>
      </w:r>
    </w:p>
    <w:p w:rsidR="004D6499" w:rsidRPr="00980BF3" w:rsidRDefault="004D6499" w:rsidP="004D6499">
      <w:pPr>
        <w:widowControl w:val="0"/>
        <w:autoSpaceDE w:val="0"/>
        <w:autoSpaceDN w:val="0"/>
        <w:adjustRightInd w:val="0"/>
        <w:ind w:left="432"/>
        <w:rPr>
          <w:rFonts w:ascii="Arial Narrow" w:hAnsi="Arial Narrow" w:cs="AkzidenzGroteskBE-Regular"/>
          <w:color w:val="718883"/>
          <w:sz w:val="30"/>
          <w:szCs w:val="30"/>
          <w:lang w:val="fr-FR"/>
        </w:rPr>
      </w:pPr>
    </w:p>
    <w:p w:rsidR="004D6499" w:rsidRPr="00980BF3" w:rsidRDefault="004D6499" w:rsidP="004D6499">
      <w:pPr>
        <w:widowControl w:val="0"/>
        <w:autoSpaceDE w:val="0"/>
        <w:autoSpaceDN w:val="0"/>
        <w:adjustRightInd w:val="0"/>
        <w:ind w:left="432"/>
        <w:rPr>
          <w:rFonts w:ascii="Arial Narrow" w:hAnsi="Arial Narrow" w:cs="AkzidenzGroteskBE-Regular"/>
          <w:color w:val="718883"/>
          <w:sz w:val="18"/>
          <w:szCs w:val="18"/>
          <w:lang w:val="fr-FR"/>
        </w:rPr>
      </w:pPr>
      <w:r w:rsidRPr="00980BF3">
        <w:rPr>
          <w:rFonts w:ascii="Arial Narrow" w:hAnsi="Arial Narrow" w:cs="AkzidenzGroteskBE-Regular"/>
          <w:color w:val="FF8500"/>
          <w:sz w:val="18"/>
          <w:szCs w:val="18"/>
          <w:lang w:val="fr-FR"/>
        </w:rPr>
        <w:t>Acidification de l'air</w:t>
      </w:r>
      <w:r w:rsidRPr="00980BF3">
        <w:rPr>
          <w:rFonts w:ascii="Arial Narrow" w:hAnsi="Arial Narrow" w:cs="AkzidenzGroteskBE-Regular"/>
          <w:color w:val="FF8500"/>
          <w:sz w:val="20"/>
          <w:szCs w:val="20"/>
          <w:lang w:val="fr-FR"/>
        </w:rPr>
        <w:t xml:space="preserve"> </w:t>
      </w:r>
      <w:r w:rsidRPr="00980BF3">
        <w:rPr>
          <w:rFonts w:ascii="Arial Narrow" w:hAnsi="Arial Narrow" w:cs="AkzidenzGroteskBE-Regular"/>
          <w:color w:val="718883"/>
          <w:sz w:val="18"/>
          <w:szCs w:val="18"/>
          <w:lang w:val="fr-FR"/>
        </w:rPr>
        <w:t xml:space="preserve">- Le dioxyde de soufre, les oxydes nitreux et autres émissions acides dans l'air sont à l'origine de l'acidification de l'eau de pluie, qui, à son tour, est responsable de l'acidification des lacs et des sols.  Ces acides peuvent rendre la terre et l'eau toxiques pour les végétaux et la vie aquatique.  Les pluies acides peuvent également lentement dissoudre les matériaux d'origine humaine comme le béton.  Cet impact est généralement mesuré soit en </w:t>
      </w:r>
      <w:r w:rsidRPr="00980BF3">
        <w:rPr>
          <w:rFonts w:ascii="Arial Narrow" w:hAnsi="Arial Narrow" w:cs="AkzidenzGroteskBE-Regular"/>
          <w:b/>
          <w:color w:val="718883"/>
          <w:sz w:val="18"/>
          <w:szCs w:val="18"/>
          <w:lang w:val="fr-FR"/>
        </w:rPr>
        <w:t>équivalent kg de dioxyde de soufre (SO</w:t>
      </w:r>
      <w:r w:rsidRPr="00AE3371">
        <w:rPr>
          <w:rFonts w:ascii="Arial Narrow" w:hAnsi="Arial Narrow" w:cs="AkzidenzGroteskBE-Regular"/>
          <w:b/>
          <w:color w:val="718883"/>
          <w:sz w:val="18"/>
          <w:szCs w:val="18"/>
          <w:vertAlign w:val="subscript"/>
          <w:lang w:val="fr-FR"/>
        </w:rPr>
        <w:t>2</w:t>
      </w:r>
      <w:r w:rsidRPr="00980BF3">
        <w:rPr>
          <w:rFonts w:ascii="Arial Narrow" w:hAnsi="Arial Narrow" w:cs="AkzidenzGroteskBE-Regular"/>
          <w:b/>
          <w:color w:val="718883"/>
          <w:sz w:val="18"/>
          <w:szCs w:val="18"/>
          <w:lang w:val="fr-FR"/>
        </w:rPr>
        <w:t>) soit en équivalent moles de H+</w:t>
      </w:r>
      <w:r w:rsidRPr="00980BF3">
        <w:rPr>
          <w:rFonts w:ascii="Arial Narrow" w:hAnsi="Arial Narrow" w:cs="AkzidenzGroteskBE-Regular"/>
          <w:color w:val="718883"/>
          <w:sz w:val="18"/>
          <w:szCs w:val="18"/>
          <w:lang w:val="fr-FR"/>
        </w:rPr>
        <w:t xml:space="preserve">  </w:t>
      </w:r>
    </w:p>
    <w:p w:rsidR="004D6499" w:rsidRPr="00980BF3" w:rsidRDefault="004D6499" w:rsidP="004D6499">
      <w:pPr>
        <w:widowControl w:val="0"/>
        <w:autoSpaceDE w:val="0"/>
        <w:autoSpaceDN w:val="0"/>
        <w:adjustRightInd w:val="0"/>
        <w:ind w:left="432"/>
        <w:rPr>
          <w:rFonts w:ascii="Arial Narrow" w:hAnsi="Arial Narrow" w:cs="AkzidenzGroteskBE-Regular"/>
          <w:color w:val="718883"/>
          <w:sz w:val="18"/>
          <w:szCs w:val="18"/>
          <w:lang w:val="fr-FR"/>
        </w:rPr>
      </w:pPr>
    </w:p>
    <w:p w:rsidR="004D6499" w:rsidRPr="00980BF3" w:rsidRDefault="004D6499" w:rsidP="004D6499">
      <w:pPr>
        <w:widowControl w:val="0"/>
        <w:autoSpaceDE w:val="0"/>
        <w:autoSpaceDN w:val="0"/>
        <w:adjustRightInd w:val="0"/>
        <w:ind w:left="432"/>
        <w:rPr>
          <w:rFonts w:ascii="Arial Narrow" w:hAnsi="Arial Narrow" w:cs="AkzidenzGroteskBE-Regular"/>
          <w:color w:val="718883"/>
          <w:sz w:val="18"/>
          <w:szCs w:val="18"/>
          <w:lang w:val="fr-FR"/>
        </w:rPr>
      </w:pPr>
      <w:r w:rsidRPr="00980BF3">
        <w:rPr>
          <w:rFonts w:ascii="Arial Narrow" w:hAnsi="Arial Narrow" w:cs="AkzidenzGroteskBE-Regular"/>
          <w:color w:val="FF8500"/>
          <w:sz w:val="18"/>
          <w:szCs w:val="18"/>
          <w:lang w:val="fr-FR"/>
        </w:rPr>
        <w:t xml:space="preserve">Empreinte carbone </w:t>
      </w:r>
      <w:r w:rsidRPr="00980BF3">
        <w:rPr>
          <w:rFonts w:ascii="Arial Narrow" w:hAnsi="Arial Narrow" w:cs="AkzidenzGroteskBE-Regular"/>
          <w:color w:val="718883"/>
          <w:sz w:val="18"/>
          <w:szCs w:val="18"/>
          <w:lang w:val="fr-FR"/>
        </w:rPr>
        <w:t>- Le dioxyde de carbone et autres gaz résultant de la combustion des combustibles fossiles s'accumulent dans l'atmosphère, ce qui contribue au réchauffement de la planète. L'empreinte carbone agit comme indicateur d'un facteur d'impact plus global connu sous le nom de potentiel de réchauffement planétaire (PRP). Le réchauffement planétaire est responsable, entre autres, du recul des glaciers, de l'extinction de certaines espèces et de dérèglements climatiques.</w:t>
      </w:r>
    </w:p>
    <w:p w:rsidR="004D6499" w:rsidRPr="00980BF3" w:rsidRDefault="004D6499" w:rsidP="004D6499">
      <w:pPr>
        <w:widowControl w:val="0"/>
        <w:autoSpaceDE w:val="0"/>
        <w:autoSpaceDN w:val="0"/>
        <w:adjustRightInd w:val="0"/>
        <w:ind w:left="432"/>
        <w:rPr>
          <w:rFonts w:ascii="Arial Narrow" w:hAnsi="Arial Narrow" w:cs="AkzidenzGroteskBE-Regular"/>
          <w:color w:val="718883"/>
          <w:sz w:val="18"/>
          <w:szCs w:val="18"/>
          <w:lang w:val="fr-FR"/>
        </w:rPr>
      </w:pPr>
    </w:p>
    <w:p w:rsidR="004D6499" w:rsidRPr="00980BF3" w:rsidRDefault="004D6499" w:rsidP="004D6499">
      <w:pPr>
        <w:widowControl w:val="0"/>
        <w:autoSpaceDE w:val="0"/>
        <w:autoSpaceDN w:val="0"/>
        <w:adjustRightInd w:val="0"/>
        <w:ind w:left="432"/>
        <w:rPr>
          <w:rFonts w:ascii="Arial Narrow" w:hAnsi="Arial Narrow" w:cs="AkzidenzGroteskBE-Regular"/>
          <w:color w:val="718883"/>
          <w:sz w:val="18"/>
          <w:szCs w:val="18"/>
          <w:lang w:val="fr-FR"/>
        </w:rPr>
      </w:pPr>
      <w:r w:rsidRPr="00980BF3">
        <w:rPr>
          <w:rFonts w:ascii="Arial Narrow" w:hAnsi="Arial Narrow" w:cs="AkzidenzGroteskBE-Regular"/>
          <w:color w:val="FF8500"/>
          <w:sz w:val="18"/>
          <w:szCs w:val="18"/>
          <w:lang w:val="fr-FR"/>
        </w:rPr>
        <w:t xml:space="preserve">Energie totale consommée </w:t>
      </w:r>
      <w:r w:rsidRPr="00980BF3">
        <w:rPr>
          <w:rFonts w:ascii="Arial Narrow" w:hAnsi="Arial Narrow" w:cs="AkzidenzGroteskBE-Regular"/>
          <w:color w:val="718883"/>
          <w:sz w:val="18"/>
          <w:szCs w:val="18"/>
          <w:lang w:val="fr-FR"/>
        </w:rPr>
        <w:t>- Une mesure, exprimée en mégajoules (</w:t>
      </w:r>
      <w:r w:rsidRPr="00980BF3">
        <w:rPr>
          <w:rFonts w:ascii="Arial Narrow" w:hAnsi="Arial Narrow" w:cs="AkzidenzGroteskBE-Regular"/>
          <w:b/>
          <w:color w:val="718883"/>
          <w:sz w:val="18"/>
          <w:szCs w:val="18"/>
          <w:lang w:val="fr-FR"/>
        </w:rPr>
        <w:t>MJ</w:t>
      </w:r>
      <w:r w:rsidRPr="00980BF3">
        <w:rPr>
          <w:rFonts w:ascii="Arial Narrow" w:hAnsi="Arial Narrow" w:cs="AkzidenzGroteskBE-Regular"/>
          <w:color w:val="718883"/>
          <w:sz w:val="18"/>
          <w:szCs w:val="18"/>
          <w:lang w:val="fr-FR"/>
        </w:rPr>
        <w:t xml:space="preserve">), des sources d'énergie non renouvelables associées au cycle de vie de la pièce.  Cet impact comprend non seulement l'électricité ou les combustibles utilisés au cours du cycle de vie du produit, mais aussi l'énergie nécessaire en amont pour obtenir et transformer ces combustibles, ainsi que l'énergie consommée par la matière si elle était brûlée.  L'énergie totale consommée est exprimée comme la valeur calorifique nette de la demande énergétique issue de ressources non renouvelables (pétrole, gaz naturel, etc.).  Le rendement de la conversion énergétique (puissance, chaleur, vapeur, etc.) est pris en compte. </w:t>
      </w:r>
    </w:p>
    <w:p w:rsidR="004D6499" w:rsidRPr="00980BF3" w:rsidRDefault="004D6499" w:rsidP="004D6499">
      <w:pPr>
        <w:widowControl w:val="0"/>
        <w:autoSpaceDE w:val="0"/>
        <w:autoSpaceDN w:val="0"/>
        <w:adjustRightInd w:val="0"/>
        <w:ind w:left="432"/>
        <w:rPr>
          <w:rFonts w:ascii="Arial Narrow" w:hAnsi="Arial Narrow" w:cs="AkzidenzGroteskBE-Regular"/>
          <w:color w:val="718883"/>
          <w:sz w:val="18"/>
          <w:szCs w:val="18"/>
          <w:lang w:val="fr-FR"/>
        </w:rPr>
      </w:pPr>
    </w:p>
    <w:p w:rsidR="004D6499" w:rsidRPr="00980BF3" w:rsidRDefault="004D6499" w:rsidP="004D6499">
      <w:pPr>
        <w:ind w:left="432"/>
        <w:rPr>
          <w:rFonts w:ascii="Arial Narrow" w:hAnsi="Arial Narrow" w:cs="AkzidenzGroteskBE-Regular"/>
          <w:color w:val="718883"/>
          <w:sz w:val="18"/>
          <w:szCs w:val="18"/>
          <w:lang w:val="fr-FR"/>
        </w:rPr>
      </w:pPr>
      <w:r w:rsidRPr="00980BF3">
        <w:rPr>
          <w:rFonts w:ascii="Arial Narrow" w:hAnsi="Arial Narrow" w:cs="AkzidenzGroteskBE-Regular"/>
          <w:color w:val="FF8500"/>
          <w:sz w:val="18"/>
          <w:szCs w:val="18"/>
          <w:lang w:val="fr-FR"/>
        </w:rPr>
        <w:t xml:space="preserve">Eutrophisation de l'eau </w:t>
      </w:r>
      <w:r w:rsidRPr="00980BF3">
        <w:rPr>
          <w:rFonts w:ascii="Arial Narrow" w:hAnsi="Arial Narrow" w:cs="AkzidenzGroteskBE-Regular"/>
          <w:color w:val="718883"/>
          <w:sz w:val="18"/>
          <w:szCs w:val="18"/>
          <w:lang w:val="fr-FR"/>
        </w:rPr>
        <w:t xml:space="preserve">- Quand trop d'éléments nutritifs sont ajoutés à un écosystème aquatique, l'eutrophisation apparaît.  L'azote et le phosphore des eaux usées et les fertilisants agricoles stimulent l'éclosion excessive d'algues, ce qui épuise l'oxygène dissous dans l'eau et entraîne la mort de la faune et de la flore.  Cet impact est en général mesuré soit en </w:t>
      </w:r>
      <w:r w:rsidRPr="00980BF3">
        <w:rPr>
          <w:rFonts w:ascii="Arial Narrow" w:hAnsi="Arial Narrow" w:cs="AkzidenzGroteskBE-Regular"/>
          <w:b/>
          <w:color w:val="718883"/>
          <w:sz w:val="18"/>
          <w:szCs w:val="18"/>
          <w:lang w:val="fr-FR"/>
        </w:rPr>
        <w:t>équivalent kg de phosphate (PO</w:t>
      </w:r>
      <w:r w:rsidRPr="00AE3371">
        <w:rPr>
          <w:rFonts w:ascii="Arial Narrow" w:hAnsi="Arial Narrow" w:cs="AkzidenzGroteskBE-Regular"/>
          <w:b/>
          <w:color w:val="718883"/>
          <w:sz w:val="18"/>
          <w:szCs w:val="18"/>
          <w:vertAlign w:val="subscript"/>
          <w:lang w:val="fr-FR"/>
        </w:rPr>
        <w:t>4</w:t>
      </w:r>
      <w:r w:rsidRPr="00980BF3">
        <w:rPr>
          <w:rFonts w:ascii="Arial Narrow" w:hAnsi="Arial Narrow" w:cs="AkzidenzGroteskBE-Regular"/>
          <w:b/>
          <w:color w:val="718883"/>
          <w:sz w:val="18"/>
          <w:szCs w:val="18"/>
          <w:lang w:val="fr-FR"/>
        </w:rPr>
        <w:t>) soit en équivalent kg azote (N)</w:t>
      </w:r>
      <w:r w:rsidRPr="00980BF3">
        <w:rPr>
          <w:rFonts w:ascii="Arial Narrow" w:hAnsi="Arial Narrow" w:cs="AkzidenzGroteskBE-Regular"/>
          <w:color w:val="718883"/>
          <w:sz w:val="18"/>
          <w:szCs w:val="18"/>
          <w:lang w:val="fr-FR"/>
        </w:rPr>
        <w:t>.</w:t>
      </w:r>
    </w:p>
    <w:p w:rsidR="004D6499" w:rsidRPr="00980BF3" w:rsidRDefault="004D6499" w:rsidP="004D6499">
      <w:pPr>
        <w:ind w:left="432"/>
        <w:rPr>
          <w:rFonts w:ascii="Arial Narrow" w:hAnsi="Arial Narrow" w:cs="AkzidenzGroteskBE-Regular"/>
          <w:color w:val="718883"/>
          <w:sz w:val="18"/>
          <w:szCs w:val="18"/>
          <w:lang w:val="fr-FR"/>
        </w:rPr>
      </w:pPr>
    </w:p>
    <w:p w:rsidR="004D6499" w:rsidRPr="00980BF3" w:rsidRDefault="004D6499" w:rsidP="004D6499">
      <w:pPr>
        <w:widowControl w:val="0"/>
        <w:autoSpaceDE w:val="0"/>
        <w:autoSpaceDN w:val="0"/>
        <w:adjustRightInd w:val="0"/>
        <w:ind w:left="432"/>
        <w:rPr>
          <w:rFonts w:ascii="Arial Narrow" w:hAnsi="Arial Narrow" w:cs="AkzidenzGroteskBE-Regular"/>
          <w:color w:val="718883"/>
          <w:sz w:val="18"/>
          <w:szCs w:val="18"/>
          <w:lang w:val="fr-FR"/>
        </w:rPr>
      </w:pPr>
      <w:r w:rsidRPr="00980BF3">
        <w:rPr>
          <w:rFonts w:ascii="Arial Narrow" w:hAnsi="Arial Narrow" w:cs="AkzidenzGroteskBE-Regular"/>
          <w:color w:val="FF8500"/>
          <w:sz w:val="18"/>
          <w:szCs w:val="18"/>
          <w:lang w:val="fr-FR"/>
        </w:rPr>
        <w:t>Analyse du cycle de vie (ACV)</w:t>
      </w:r>
      <w:r w:rsidRPr="00980BF3">
        <w:rPr>
          <w:rFonts w:ascii="Arial Narrow" w:hAnsi="Arial Narrow" w:cs="AkzidenzGroteskBE-Regular"/>
          <w:b/>
          <w:color w:val="FF8500"/>
          <w:sz w:val="18"/>
          <w:szCs w:val="18"/>
          <w:lang w:val="fr-FR"/>
        </w:rPr>
        <w:t xml:space="preserve"> </w:t>
      </w:r>
      <w:r w:rsidRPr="00980BF3">
        <w:rPr>
          <w:rFonts w:ascii="Arial Narrow" w:hAnsi="Arial Narrow" w:cs="AkzidenzGroteskBE-Regular"/>
          <w:color w:val="718883"/>
          <w:sz w:val="18"/>
          <w:szCs w:val="18"/>
          <w:lang w:val="fr-FR"/>
        </w:rPr>
        <w:t>- Méthode servant à quantifier l'impact d'un produit sur l'environnement tout au long de son cycle de vie, de l'extraction des matières premières jusqu'à la production, la distribution, l'utilisation, l'élimination et le recyclage de ce produit.</w:t>
      </w:r>
    </w:p>
    <w:p w:rsidR="00792F3D" w:rsidRPr="004D6499" w:rsidRDefault="00792F3D">
      <w:pPr>
        <w:rPr>
          <w:lang w:val="fr-FR"/>
        </w:rPr>
      </w:pPr>
    </w:p>
    <w:sectPr w:rsidR="00792F3D" w:rsidRPr="004D6499" w:rsidSect="00792F3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kzidenzGroteskBE-Regular">
    <w:altName w:val="Times New Roman"/>
    <w:panose1 w:val="00000000000000000000"/>
    <w:charset w:val="4D"/>
    <w:family w:val="auto"/>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4D6499"/>
    <w:rsid w:val="004D6499"/>
    <w:rsid w:val="00792F3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499"/>
    <w:pPr>
      <w:spacing w:after="0" w:line="240" w:lineRule="auto"/>
    </w:pPr>
    <w:rPr>
      <w:rFonts w:ascii="Cambria" w:eastAsia="Times New Roman" w:hAnsi="Cambria"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375</Words>
  <Characters>2068</Characters>
  <Application>Microsoft Office Word</Application>
  <DocSecurity>0</DocSecurity>
  <Lines>17</Lines>
  <Paragraphs>4</Paragraphs>
  <ScaleCrop>false</ScaleCrop>
  <Company>Microsoft</Company>
  <LinksUpToDate>false</LinksUpToDate>
  <CharactersWithSpaces>2439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adminl</dc:creator>
  <cp:lastModifiedBy>adminl</cp:lastModifiedBy>
  <cp:revision>1</cp:revision>
  <dcterms:created xsi:type="dcterms:W3CDTF">2012-11-13T21:50:00Z</dcterms:created>
  <dcterms:modified xsi:type="dcterms:W3CDTF">2012-11-13T21:51:00Z</dcterms:modified>
</cp:coreProperties>
</file>